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1"/>
          <w:i w:val="1"/>
          <w:smallCaps w:val="0"/>
          <w:strike w:val="0"/>
          <w:color w:val="007bb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7bb8"/>
          <w:sz w:val="24"/>
          <w:szCs w:val="24"/>
          <w:u w:val="none"/>
          <w:shd w:fill="auto" w:val="clear"/>
          <w:vertAlign w:val="baseline"/>
          <w:rtl w:val="0"/>
        </w:rPr>
        <w:t xml:space="preserve">ИЗНАЧАЛЬНО ВЫШЕСТОЯЩИЙ ДОМ ИЗНАЧАЛЬНО ВЫШЕСТОЯЩЕГО ОТЦА</w:t>
      </w:r>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007bb8"/>
        </w:rPr>
      </w:pPr>
      <w:r w:rsidDel="00000000" w:rsidR="00000000" w:rsidRPr="00000000">
        <w:rPr>
          <w:rFonts w:ascii="Times New Roman" w:cs="Times New Roman" w:eastAsia="Times New Roman" w:hAnsi="Times New Roman"/>
          <w:b w:val="1"/>
          <w:color w:val="007bb8"/>
          <w:rtl w:val="0"/>
        </w:rPr>
        <w:t xml:space="preserve">Высший Аттестационный Совет Изначально Вышестоящего Отца</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1.Высший Аттестационный Совет ИВО - это 62-я организация ИВДИВО, развертывающая мудрую аттестацию Высшим Аттестационным Советом (ВАС), действующая Синтезом Мудрости ИВО, определяющая аттестационным неисповедимым Синтезом ИВО уровень подготовки истиной исполнения, результатов, наличия реализаций, их состоятельности, действенности, стати, выявляющая перспективы, планы синтеза, подводящая итоги бескомпромиссной, обоснованной, беспристрастной, мудрой, неисповедимой аттестации человека, компетентного, полномочного, Должностно Полномочного.</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2.Аттестующий — это член Высшего Аттестационного Совета, обладающий специальными полномочиями, компетенциями, реализациями, назначенный ИВАС Морией, ИВ Владыкой ИВО, ИВО, беспрекословно исполняющий их решения, являющий Мудрость ИВО, Волю ИВО, временно или постоянно входящий в ВАС, участвующий в проведении высшей аттестации аттестующимся.</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3.Аттестующийся — это участник Высшего Аттестационного Совета ИВО, входящий в него статусом собственной высшей аттестации, подвергающийся проверке истиной, Синтезом Мудрости ИВО, длительностью до завершения высшей аттестации, с итоговым заключением и мудрым вердиктом итогов проверки.</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4.Аттестованный- это участник Высшей Аттестации, прошедший Высшую Аттестацию ИВО и её итогами, решением ИВАС Мории, ИВ Владыки ИВО, ИВО, Синтезом Мудрости ИВО, Мудрости ИВО, Синтеза ИВО, по аттестуемой деятельности, получивший обоснованный вердикт, утвердительное бескомпромиссное освидетельствование с итоговым выводом ВАС о завершении ВА, с получением рекомендаций и, в некоторых случаях, решением Высшего Аттестационного Совета, назначения, реализации, поручения, изменения иерархических компетенций, полномочий,  перспектив Владычества и иных достижений каждого.</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Определить виды Высшей Аттестации:</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Ивдивная</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Должностно Полномочного</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Парадигмолога Синтеза</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Философа Синтеза</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Ученого Синтеза</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Отец-Человек Субъекта Синтеза</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Владыки Синтеза ИВО</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Иерархическая</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Определить виды Высшей Аттестации Должностно Полномочных ИВДИВО каждого подразделения ИВДИВО:</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Аватара Изначально Вышестоящего Отца организаций ИВДИВО</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Владыки Изначально Вышестоящего Отца управлений ИВДИВО</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Учителя Изначально Вышестоящего Отца управлений ИВДИВО</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Ипостаси Изначально Вышестоящего Отца управлений ИВДИВО</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Служащих Изначально Вышестоящего Отца отделов ИВДИВО</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Посвящённых Изначально Вышестоящего Отца отделов ИВДИВО</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64 Изначальных Изначально Вышестоящего Отца отделов ИВДИВО</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Определить Высшую Аттестацию по Степени ИВДИВО-космичности:</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ИВДИВО-космичности Аватаров ИВО, Владык ИВО, Учителей ИВО - Учителем Синтеза ИВАС КХ.</w:t>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ИВДИВО-космичности Ипостаси ИВО - Ипостасью Синтеза ИВАС КХ.</w:t>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Степень ИВДИВО-космичности Служащих ИВО - Служащим Синтеза ИВАС КХ.</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ИВДИВО-космичности Посвящённых ИВО - Посвящённым Синтеза ИВАС КХ.</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ИВДИВО-космичности Изначальных ИВО - Изначальным Синтеза ИВАС КХ.</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Степень ИВДИВО-космичности Ведущих Синтез Изначально Вышестоящего Отца/Изначально Вышестоящего Аватара Синтеза Кут Хуми - Владыкой Синтеза ИВАС КХ.</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Определить подготовку к Высшей Аттестации двух видов:</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Запланированная</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Заранее запланированная Высшая Аттестация, согласованная с Высшей Аттестационной Комиссией, стяженными заранее: Синтезом Мудрости ИВАС Мории, Мудрости ИВО ИВ Владыки ИВО, Синтеза ИВО ИВО, подготовкой к Высшей Аттестации.</w:t>
        <w:br w:type="textWrapping"/>
        <w:t xml:space="preserve">2) Спонтанная</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Высшая Аттестация без предварительного согласования, стяжания Синтеза Мудрости ИВО, Мудрости ИВО, Синтеза ИВО и обучения у ИВАС Мории, ИВАС Кут Хуми, ИВ Владыки ИВО, ИВО.</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По количеству проведений Высшая Аттестация назначается:</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Единично</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Регулярно </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(ежемесячно, ежегодно или другой назначенный период времени)</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Определить количество Аттестуемых Высшей Аттестации:</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Индивидуальная</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Командная</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Аттестующими в Высшей Аттестационной Комиссии (ВАК) являются:</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ИВ Владыка ИВО</w:t>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ИВАС Мория ИВО</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Полномочная Высшая Аттестационная Комиссия (ПВАК)</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Определить порядок запланированной аттестации:</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Выбор и согласование времени и места проведения Высшей Аттестации с Высшей Аттестационной Комиссией</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Начало Высшей Аттестации</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Постановка вопроса, задач для решения</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Назначение количества времени, необходимых для продумывания ответа и решения задач, предложенных Высшей Аттестационной Комиссией индивидуально для каждого и/ или для команды</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Ответы на вопросы</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Блиц-опрос (вопрос-ответ) по подготовке каждого, в том числе с вопросами более сложного порядка для повышения компетенции аттестуемого.</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Действие 16-й ИВДИВО-Развития</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Исполнение одного или нескольких действий 16-цы ИВДИВО-развития по рекомендации Высшей Аттестационной Комиссии</w:t>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Обсуждение результатов, подведение индивидуальных и командных итогов</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Действие с Изначально Вышестоящим Отцом.</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ИВО</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Синтеза ИВО</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Огня ИВО Должностных Полномочий</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Части ИВО Должностно Полномочного</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Высшей части ИВО Парадигмолога Синтеза</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и развертывание темы Огнём и Синтезом ИВО Должностных Полномочий</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Ядер Синтеза ИВО, ядра Должностно Полномочного</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Воли ИВО словом, делом, физическим телом, телами Парадигмолога Синтеза, Философа Синтеза, Ученого Синтеза, Отец-Человек Субъекта Синтеза, Человека ИВДИВО-космического телесной реализацией</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Должностно Полномочного:</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Наличия и качества исполненных обязанностей Должностно Полномочного</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Дееспособности, актуальности, новизны исполненного лично и командой любого Подразделения ИВДИВО (дееспособность команды в исполнении порученного)</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Знаний Организации ИВДИВО, в которой служит Должностно Полномочный</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Знаний части Должностно Полномочного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части Подразделения ИВДИВО</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Знаний о Высшей части Парадигмолога Синтеза</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Знаний Огня явления Должностно Полномочного</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Знаний Синтеза по курсу и номеру Парадигмальных Чтений Синтеза ИВО части Должностно Полномочного и высшей части Парадигмолога Синтеза</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Синтеза целого, на умение оперировать знаниями и умениями нелинейным синтезом иерархично каждым</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Количества действующих частей, систем, аппаратов, частностей</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Наличия восьми видов реализаций и мудрое действие ими</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видов жизни, которыми живёт аттестуемый, согласно ДП</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Качество Ипостасности ИВО ИВАС</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разработка темы, части, организации поручения</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и умение действовать ИВДИВО-комическим Человеком Синтеза, Отец-Человек Субъект Синтеза, Учёный Синтеза, Философ Синтеза, ДП, Парадигмолог Синтеза</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8192-х частей</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1024-х систем</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1024-х аппаратов</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64-х частностей</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восьми реализаций</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64-х организаций Отцов-Аватаров</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64-х организаций ИВАС</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192-х управлений</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256 организациях</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6-ти Миров</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6-ти Высших Миров</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64-х видов материи</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1024-х космосов</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видов организаций материи</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16-ти эволюций</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архетипов ИВДИВО</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Знания на свободную тему, решением аттестационной комиссии</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Умения и выражение, действие частями, системами, аппаратами, частностями</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512-ти ИВАС</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ИВО каждого архетипа ИВДИВО</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Синтеза ИВО Должностных Полномочий</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Явление синтезфизичности, эволюции, мира, реализаций ДП</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Действие, разработанность Учителем Синтеза, Ипостаси Синтеза, Служащим Синтеза, Посвященным Синтеза, Изначальным Синтеза</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действовать 16-рицей ИВДИВО-развития</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Наработанность ИВДИВО-разработки темами, действиями при участии в Высшей Аттестации</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Разработанность, действенность ИВДИВО-космическим Человеком Синтеза, Отцом-Человеком Субъектом Синтеза, Ученым Синтеза, Философом Синтеза, Парадигмологом Синтеза</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Разработанность, действенность, умения Аватара, Владыки, Учителя, Ипостаси, Служащего, Посвященного, Изначального ДП</w:t>
      </w:r>
    </w:p>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Подведение итогов Высшей Аттестации Высшей Аттестационной Комиссией (Полномочные Высшей Аттестационной Комиссии, ИВАС Мория, ИВ Владыка ИВО, ИВО).</w:t>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Определить завершением Высшей Аттестации синтезфизически:</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Рекомендациями Полномочной Высшей Аттестационной Комиссии для аттестуемых</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Рекомендациями ИВАС Мории, ИВ Владыки ИВО, ИВО</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аттестуемых в практики и/или тренинги, рекомендованные Полномочной Высшей Аттестационной Комиссией и ИВО</w:t>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Набор текста, проведенной Высшей Аттестации без права на общественную публикацию набранного. Ведение протокола Высшей Аттестации с указанием основных итогов.</w:t>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Определить в заключительном этапе Высшей Аттестации:</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Подведение итогов с заключительной формулировкой: " Аттестован" или "Не аттестован»</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аттестованным необходимо задать вопрос ИВАС Мории, ИВ Владыке ИВО, ИВО о причинах неаттестации, необходимых к принятию мерах по их устранению.</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Аттестованный и не аттестованный стяжает ночное обучение у ИВАС Мории, ИВАС КХ, ИВ Владыки ИВО для уточнения правильности требуемых ответов, теоретических и практических навыков и умений.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Назначение сроков следующей Высшей Аттестации для аттестованных и повторной высшей аттестации для не аттестованных.</w:t>
      </w:r>
    </w:p>
    <w:p w:rsidR="00000000" w:rsidDel="00000000" w:rsidP="00000000" w:rsidRDefault="00000000" w:rsidRPr="00000000" w14:paraId="00000078">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Высшая Аттестация считается пройденной только при условии исполнения всех поставленных задач, решением Высшей Аттестационной Комиссии. Не пройденной - неисполнением требований и правильности ответов, решений, результатов, тренингов или неправильного понимания Должностных умений и обязанностей, решением Высшей Аттестационной Комиссии.</w:t>
        <w:br w:type="textWrapping"/>
        <w:t xml:space="preserve">11. Высшая Аттестация с участием ДП подразделения ИВДИВО проводится в подразделении ИВДИВО в результате договорённости и согласования трех сторон: Аттестующего, Аттестующегося, ИВАС Мории.</w:t>
      </w:r>
    </w:p>
    <w:p w:rsidR="00000000" w:rsidDel="00000000" w:rsidP="00000000" w:rsidRDefault="00000000" w:rsidRPr="00000000" w14:paraId="00000079">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Высшая Аттестация включает несколько разделов:</w:t>
        <w:br w:type="textWrapping"/>
        <w:t xml:space="preserve">А) Информационное введение</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Объяснение про Высший Аттестационный Совет</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Разъяснение о процессе Высшей Аттестации</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Разъяснение о влиянии результатов Высшей Аттестации на аттестуемого</w:t>
      </w:r>
    </w:p>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 Практика вхождения в действие Высшего Аттестационного Совета</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Стяжание Синтеза Мудрости ИВО ИВАС Мории, введением в Высшую Аттестацию и её начала с представлением темы Высшей Аттестации и её согласование с ИВАС Морией.</w:t>
      </w:r>
    </w:p>
    <w:p w:rsidR="00000000" w:rsidDel="00000000" w:rsidP="00000000" w:rsidRDefault="00000000" w:rsidRPr="00000000" w14:paraId="0000007F">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Практика начала Высшей Аттестации</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Начало Высшей Аттестации, взаимодействие с Высшей Аттестационной Комиссией</w:t>
      </w:r>
    </w:p>
    <w:p w:rsidR="00000000" w:rsidDel="00000000" w:rsidP="00000000" w:rsidRDefault="00000000" w:rsidRPr="00000000" w14:paraId="00000081">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Практика итогов Высшей Аттестации</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стяжания результатов и принятие решения о Высшей Аттестации Высшей Аттестационной Комиссией</w:t>
      </w:r>
    </w:p>
    <w:p w:rsidR="00000000" w:rsidDel="00000000" w:rsidP="00000000" w:rsidRDefault="00000000" w:rsidRPr="00000000" w14:paraId="00000083">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практика завершения Высшей Аттестации</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Формируются рекомендации Высшей Аттестационной Комиссией для исполнения их аттестуемым</w:t>
      </w:r>
    </w:p>
    <w:p w:rsidR="00000000" w:rsidDel="00000000" w:rsidP="00000000" w:rsidRDefault="00000000" w:rsidRPr="00000000" w14:paraId="00000085">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 Практика итогов Высшей Аттестации</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Итоговая практика стяжания: Синтеза Мудрости ИВАС Мории, Синтез ИВО</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Итоги Высшей Аттестации подводят сначала в физической команде, затем решение продолжается в специальных залах Высшей Аттестации ИВАС Мории или ИВ Владыки ИВО.</w:t>
        <w:br w:type="textWrapping"/>
        <w:t xml:space="preserve">Итоги Высшего Аттестационного Совета определяются на основании:</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Коллегиального решения Высшей Аттестационной Комиссии Высшего Аттестационного Совета, во главе ИВАС Мории</w:t>
        <w:br w:type="textWrapping"/>
        <w:t xml:space="preserve">2). При спорных или сложных случаях, необходимых дополнителнениях Высшей Аттестации принимает решение ИВ Владыка ИВО</w:t>
      </w:r>
    </w:p>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Повторная аттестация назначается не аттестованным или частично аттестованным по истечении срока переподготовки. Определяется новое время и созывается повторно Высший Аттестационный Совет.</w:t>
        <w:br w:type="textWrapping"/>
        <w:t xml:space="preserve">Повторная аттестация возможна в том количестве, которое установлено итогами Высшей Аттестации для группы или индивидуально аттестованного, Высшей Аттестационной Комиссией.</w:t>
        <w:br w:type="textWrapping"/>
        <w:t xml:space="preserve">Высшая Аттестационная Комиссия имеет права:</w:t>
        <w:br w:type="textWrapping"/>
        <w:t xml:space="preserve">1. Назначить время ВА</w:t>
        <w:br w:type="textWrapping"/>
        <w:t xml:space="preserve">2. Выбрать тему ВА по полномочиям аттестующегося</w:t>
        <w:br w:type="textWrapping"/>
        <w:t xml:space="preserve">3. Определить последовательность вопросов и порядок очереди ответов в случаях коллективной ВА</w:t>
        <w:br w:type="textWrapping"/>
        <w:t xml:space="preserve">4. Назначить ответственных за сбор материала и записей ВА</w:t>
        <w:br w:type="textWrapping"/>
        <w:t xml:space="preserve">5. Вынести собственные решения и дать рекомендации о принятии мер по их осуществлению</w:t>
        <w:br w:type="textWrapping"/>
        <w:t xml:space="preserve">6. Сообщить о итоговых решениях ВА, принятой ВАК во главе с ИВАС Морией и ИВАС КХ, ИВ Владыки ИВО</w:t>
        <w:br w:type="textWrapping"/>
        <w:t xml:space="preserve">7. Завершить ВА, с оглашением результата Высшей Аттестации: 1) Аттестован 2) Не аттестован</w:t>
      </w:r>
      <w:r w:rsidDel="00000000" w:rsidR="00000000" w:rsidRPr="00000000">
        <w:rPr>
          <w:rtl w:val="0"/>
        </w:rPr>
        <w:br w:type="textWrapping"/>
      </w:r>
      <w:r w:rsidDel="00000000" w:rsidR="00000000" w:rsidRPr="00000000">
        <w:rPr>
          <w:rFonts w:ascii="Times New Roman" w:cs="Times New Roman" w:eastAsia="Times New Roman" w:hAnsi="Times New Roman"/>
          <w:rtl w:val="0"/>
        </w:rPr>
        <w:t xml:space="preserve">8. Назначить повторное время переаттестации для не аттестованных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При качественном простроенном командном и индивидуальном обучении, образовании, воспитании в Высшей Школе Синтеза ИВО, аттестованными становятся все участники Высшей Аттестации.</w:t>
        <w:br w:type="textWrapping"/>
        <w:t xml:space="preserve">Показателем участия, обучения, служения в Высшей Школе Синтеза ИВО является количество аттестованных и не атестованных Должностно Полномочных в результате прохождения Высшей Аттестации.</w:t>
        <w:br w:type="textWrapping"/>
        <w:t xml:space="preserve">При достаточном количестве командных и групповых занятий, использовании учебных материалов, современной литературы (в том числе архивов), качественного самообразования: количество аттестованных становится больше, чем количество не аттестованных.</w:t>
        <w:br w:type="textWrapping"/>
        <w:t xml:space="preserve">Высшая Школа Синтеза ИВО переводит Должностно Полномочных после обучения в Высшую Аттестацию для подведения итогов образовательного процесса и сложения новой, последующей концепции и стратегии образовательных мероприятий.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Аватаресса ИВО ИВДИВО-космического Высшего Аттестационного Совета ИВО ИВАС Мории, ИВДИВО-Секретарь аттестационного синтеза ИВАС Кут Хуми подразделения ИВДИВО Москва, Росси</w:t>
      </w:r>
      <w:r w:rsidDel="00000000" w:rsidR="00000000" w:rsidRPr="00000000">
        <w:rPr>
          <w:rFonts w:ascii="Calibri" w:cs="Calibri" w:eastAsia="Calibri" w:hAnsi="Calibri"/>
          <w:sz w:val="22"/>
          <w:szCs w:val="22"/>
          <w:rtl w:val="0"/>
        </w:rPr>
        <w:t xml:space="preserve">я СГБ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Кокина Алина</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spacing w:line="240" w:lineRule="auto"/>
        <w:ind w:left="360" w:firstLine="0"/>
        <w:rPr>
          <w:rFonts w:ascii="Times New Roman" w:cs="Times New Roman" w:eastAsia="Times New Roman" w:hAnsi="Times New Roman"/>
        </w:rPr>
      </w:pPr>
      <w:r w:rsidDel="00000000" w:rsidR="00000000" w:rsidRPr="00000000">
        <w:rPr>
          <w:rtl w:val="0"/>
        </w:rPr>
      </w:r>
    </w:p>
    <w:sectPr>
      <w:footerReference r:id="rId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font w:name="Times New Roman"/>
  <w:font w:name="Symbol"/>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7"/>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ru-R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